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9007B" w14:textId="5B721966" w:rsidR="00ED1FA1" w:rsidRDefault="00ED1FA1" w:rsidP="00881CE5">
      <w:pPr>
        <w:spacing w:after="0" w:line="240" w:lineRule="auto"/>
        <w:jc w:val="center"/>
        <w:rPr>
          <w:rFonts w:ascii="Perpetua" w:hAnsi="Perpetua"/>
          <w:b/>
          <w:bCs/>
          <w:smallCaps/>
          <w:sz w:val="40"/>
          <w:szCs w:val="40"/>
        </w:rPr>
      </w:pPr>
      <w:r>
        <w:rPr>
          <w:rFonts w:ascii="Perpetua" w:hAnsi="Perpetu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8B492C1" wp14:editId="47974C4D">
            <wp:simplePos x="0" y="0"/>
            <wp:positionH relativeFrom="margin">
              <wp:align>center</wp:align>
            </wp:positionH>
            <wp:positionV relativeFrom="paragraph">
              <wp:posOffset>-194310</wp:posOffset>
            </wp:positionV>
            <wp:extent cx="164592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,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A9A24" w14:textId="77777777" w:rsidR="00ED1FA1" w:rsidRDefault="00ED1FA1" w:rsidP="00881CE5">
      <w:pPr>
        <w:spacing w:after="0" w:line="240" w:lineRule="auto"/>
        <w:jc w:val="center"/>
        <w:rPr>
          <w:rFonts w:ascii="Perpetua" w:hAnsi="Perpetua"/>
          <w:b/>
          <w:bCs/>
          <w:smallCaps/>
          <w:sz w:val="40"/>
          <w:szCs w:val="40"/>
        </w:rPr>
      </w:pPr>
    </w:p>
    <w:p w14:paraId="3F2DBF66" w14:textId="12449686" w:rsidR="00ED1FA1" w:rsidRDefault="00ED1FA1" w:rsidP="00881CE5">
      <w:pPr>
        <w:spacing w:after="0" w:line="240" w:lineRule="auto"/>
        <w:jc w:val="center"/>
        <w:rPr>
          <w:rFonts w:ascii="Perpetua" w:hAnsi="Perpetua"/>
          <w:b/>
          <w:bCs/>
          <w:smallCaps/>
          <w:sz w:val="40"/>
          <w:szCs w:val="40"/>
        </w:rPr>
      </w:pPr>
    </w:p>
    <w:p w14:paraId="001459E4" w14:textId="77777777" w:rsidR="00ED1FA1" w:rsidRDefault="00ED1FA1" w:rsidP="00881CE5">
      <w:pPr>
        <w:spacing w:after="0" w:line="240" w:lineRule="auto"/>
        <w:jc w:val="center"/>
        <w:rPr>
          <w:rFonts w:ascii="Perpetua" w:hAnsi="Perpetua"/>
          <w:b/>
          <w:bCs/>
          <w:smallCaps/>
          <w:sz w:val="40"/>
          <w:szCs w:val="40"/>
        </w:rPr>
      </w:pPr>
    </w:p>
    <w:p w14:paraId="61A73A6F" w14:textId="77777777" w:rsidR="000C5457" w:rsidRDefault="000C5457" w:rsidP="00881CE5">
      <w:pPr>
        <w:spacing w:after="0" w:line="240" w:lineRule="auto"/>
        <w:jc w:val="center"/>
        <w:rPr>
          <w:rFonts w:ascii="Perpetua" w:hAnsi="Perpetua"/>
          <w:b/>
          <w:bCs/>
          <w:smallCaps/>
          <w:sz w:val="40"/>
          <w:szCs w:val="40"/>
        </w:rPr>
      </w:pPr>
    </w:p>
    <w:p w14:paraId="1A4B1895" w14:textId="589B876D" w:rsidR="004809BE" w:rsidRPr="00ED1FA1" w:rsidRDefault="00B8148F" w:rsidP="00881CE5">
      <w:pPr>
        <w:spacing w:after="0" w:line="240" w:lineRule="auto"/>
        <w:jc w:val="center"/>
        <w:rPr>
          <w:rFonts w:ascii="Perpetua" w:hAnsi="Perpetua"/>
          <w:b/>
          <w:bCs/>
          <w:smallCaps/>
          <w:sz w:val="40"/>
          <w:szCs w:val="40"/>
        </w:rPr>
      </w:pPr>
      <w:r w:rsidRPr="00ED1FA1">
        <w:rPr>
          <w:rFonts w:ascii="Perpetua" w:hAnsi="Perpetua"/>
          <w:b/>
          <w:bCs/>
          <w:smallCaps/>
          <w:sz w:val="40"/>
          <w:szCs w:val="40"/>
        </w:rPr>
        <w:t>NEW JERSEY STATE BAR FOUNDATION</w:t>
      </w:r>
    </w:p>
    <w:p w14:paraId="1AACB9A7" w14:textId="110ECC41" w:rsidR="00B8148F" w:rsidRPr="00ED1FA1" w:rsidRDefault="00ED1FA1" w:rsidP="00881CE5">
      <w:pPr>
        <w:spacing w:after="0" w:line="240" w:lineRule="auto"/>
        <w:jc w:val="center"/>
        <w:rPr>
          <w:rFonts w:ascii="Perpetua" w:hAnsi="Perpetua"/>
          <w:smallCaps/>
          <w:color w:val="1F3864" w:themeColor="accent1" w:themeShade="80"/>
          <w:sz w:val="32"/>
          <w:szCs w:val="32"/>
        </w:rPr>
      </w:pPr>
      <w:r w:rsidRPr="00ED1FA1">
        <w:rPr>
          <w:rFonts w:ascii="Perpetua" w:hAnsi="Perpetua"/>
          <w:b/>
          <w:bCs/>
          <w:smallCaps/>
          <w:color w:val="C00000"/>
          <w:sz w:val="40"/>
          <w:szCs w:val="40"/>
        </w:rPr>
        <w:t>Solicits Candidates for Board of Trustees</w:t>
      </w:r>
    </w:p>
    <w:p w14:paraId="0CAC796F" w14:textId="77777777" w:rsidR="00ED1FA1" w:rsidRDefault="00ED1FA1" w:rsidP="002D0F2E">
      <w:pPr>
        <w:spacing w:after="0" w:line="240" w:lineRule="auto"/>
        <w:jc w:val="center"/>
        <w:rPr>
          <w:rFonts w:ascii="Perpetua" w:hAnsi="Perpetua"/>
          <w:color w:val="1F3864" w:themeColor="accent1" w:themeShade="80"/>
          <w:sz w:val="32"/>
          <w:szCs w:val="32"/>
        </w:rPr>
      </w:pPr>
    </w:p>
    <w:p w14:paraId="6098BBFA" w14:textId="24C73EAC" w:rsidR="00ED1FA1" w:rsidRDefault="00ED1FA1" w:rsidP="002D0F2E">
      <w:pPr>
        <w:spacing w:after="0" w:line="240" w:lineRule="auto"/>
        <w:jc w:val="center"/>
        <w:rPr>
          <w:rFonts w:ascii="Perpetua" w:hAnsi="Perpetua"/>
          <w:color w:val="1F3864" w:themeColor="accent1" w:themeShade="80"/>
          <w:sz w:val="32"/>
          <w:szCs w:val="32"/>
        </w:rPr>
      </w:pPr>
      <w:r>
        <w:rPr>
          <w:rFonts w:ascii="Verdana" w:hAnsi="Verdana" w:cs="Arial"/>
          <w:b/>
          <w:bCs/>
          <w:sz w:val="24"/>
          <w:szCs w:val="24"/>
        </w:rPr>
        <w:t>Deadline for submitting Questionnaire: Friday, May 22, 2020</w:t>
      </w:r>
    </w:p>
    <w:p w14:paraId="168002F4" w14:textId="77777777" w:rsidR="00ED1FA1" w:rsidRDefault="00ED1FA1" w:rsidP="002D0F2E">
      <w:pPr>
        <w:spacing w:after="0" w:line="240" w:lineRule="auto"/>
        <w:jc w:val="center"/>
        <w:rPr>
          <w:rFonts w:ascii="Perpetua" w:hAnsi="Perpetua"/>
          <w:color w:val="1F3864" w:themeColor="accent1" w:themeShade="80"/>
          <w:sz w:val="32"/>
          <w:szCs w:val="32"/>
        </w:rPr>
      </w:pPr>
    </w:p>
    <w:p w14:paraId="56EC5855" w14:textId="5E70552A" w:rsidR="002D0F2E" w:rsidRDefault="002D0F2E" w:rsidP="002D0F2E">
      <w:pPr>
        <w:spacing w:after="0" w:line="240" w:lineRule="auto"/>
        <w:jc w:val="center"/>
        <w:rPr>
          <w:rFonts w:ascii="Perpetua" w:hAnsi="Perpetua"/>
          <w:color w:val="1F3864" w:themeColor="accent1" w:themeShade="80"/>
          <w:sz w:val="32"/>
          <w:szCs w:val="32"/>
        </w:rPr>
      </w:pP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  <w:r w:rsidRPr="00881CE5">
        <w:rPr>
          <w:rFonts w:ascii="Perpetua" w:hAnsi="Perpetua"/>
          <w:color w:val="1F3864" w:themeColor="accent1" w:themeShade="80"/>
          <w:sz w:val="32"/>
          <w:szCs w:val="32"/>
        </w:rPr>
        <w:sym w:font="Wingdings" w:char="F0B6"/>
      </w:r>
    </w:p>
    <w:p w14:paraId="0D067FD2" w14:textId="370F27AE" w:rsidR="00E72CCD" w:rsidRPr="00881CE5" w:rsidRDefault="00E72CCD" w:rsidP="002D0F2E">
      <w:pPr>
        <w:spacing w:after="0" w:line="240" w:lineRule="auto"/>
        <w:jc w:val="center"/>
        <w:rPr>
          <w:rFonts w:ascii="Perpetua" w:hAnsi="Perpetua"/>
          <w:color w:val="1F3864" w:themeColor="accent1" w:themeShade="80"/>
          <w:sz w:val="32"/>
          <w:szCs w:val="32"/>
        </w:rPr>
      </w:pPr>
    </w:p>
    <w:p w14:paraId="12B69304" w14:textId="178882B0" w:rsidR="00B500BF" w:rsidRDefault="00B500BF" w:rsidP="00D206A3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The New Jersey State Bar Foundation’s </w:t>
      </w:r>
      <w:r w:rsidR="00064AC5">
        <w:rPr>
          <w:rFonts w:ascii="Verdana" w:hAnsi="Verdana" w:cs="Arial"/>
          <w:sz w:val="24"/>
          <w:szCs w:val="24"/>
        </w:rPr>
        <w:t>Nominating</w:t>
      </w:r>
      <w:r>
        <w:rPr>
          <w:rFonts w:ascii="Verdana" w:hAnsi="Verdana" w:cs="Arial"/>
          <w:sz w:val="24"/>
          <w:szCs w:val="24"/>
        </w:rPr>
        <w:t xml:space="preserve"> Committee is </w:t>
      </w:r>
      <w:r w:rsidR="00064AC5">
        <w:rPr>
          <w:rFonts w:ascii="Verdana" w:hAnsi="Verdana" w:cs="Arial"/>
          <w:sz w:val="24"/>
          <w:szCs w:val="24"/>
        </w:rPr>
        <w:t>inviting</w:t>
      </w:r>
      <w:r>
        <w:rPr>
          <w:rFonts w:ascii="Verdana" w:hAnsi="Verdana" w:cs="Arial"/>
          <w:sz w:val="24"/>
          <w:szCs w:val="24"/>
        </w:rPr>
        <w:t xml:space="preserve"> </w:t>
      </w:r>
      <w:r w:rsidR="00236B47">
        <w:rPr>
          <w:rFonts w:ascii="Verdana" w:hAnsi="Verdana" w:cs="Arial"/>
          <w:sz w:val="24"/>
          <w:szCs w:val="24"/>
        </w:rPr>
        <w:t xml:space="preserve">New Jersey </w:t>
      </w:r>
      <w:r>
        <w:rPr>
          <w:rFonts w:ascii="Verdana" w:hAnsi="Verdana" w:cs="Arial"/>
          <w:sz w:val="24"/>
          <w:szCs w:val="24"/>
        </w:rPr>
        <w:t xml:space="preserve">State Bar </w:t>
      </w:r>
      <w:r w:rsidR="00064AC5">
        <w:rPr>
          <w:rFonts w:ascii="Verdana" w:hAnsi="Verdana" w:cs="Arial"/>
          <w:sz w:val="24"/>
          <w:szCs w:val="24"/>
        </w:rPr>
        <w:t>Association</w:t>
      </w:r>
      <w:r>
        <w:rPr>
          <w:rFonts w:ascii="Verdana" w:hAnsi="Verdana" w:cs="Arial"/>
          <w:sz w:val="24"/>
          <w:szCs w:val="24"/>
        </w:rPr>
        <w:t xml:space="preserve"> members and non-lawyers to submit their names for </w:t>
      </w:r>
      <w:r w:rsidR="00064AC5">
        <w:rPr>
          <w:rFonts w:ascii="Verdana" w:hAnsi="Verdana" w:cs="Arial"/>
          <w:sz w:val="24"/>
          <w:szCs w:val="24"/>
        </w:rPr>
        <w:t>consideration</w:t>
      </w:r>
      <w:r>
        <w:rPr>
          <w:rFonts w:ascii="Verdana" w:hAnsi="Verdana" w:cs="Arial"/>
          <w:sz w:val="24"/>
          <w:szCs w:val="24"/>
        </w:rPr>
        <w:t xml:space="preserve"> for a position on the Foundation’s </w:t>
      </w:r>
      <w:r w:rsidR="00064AC5">
        <w:rPr>
          <w:rFonts w:ascii="Verdana" w:hAnsi="Verdana" w:cs="Arial"/>
          <w:sz w:val="24"/>
          <w:szCs w:val="24"/>
        </w:rPr>
        <w:t>Board</w:t>
      </w:r>
      <w:r>
        <w:rPr>
          <w:rFonts w:ascii="Verdana" w:hAnsi="Verdana" w:cs="Arial"/>
          <w:sz w:val="24"/>
          <w:szCs w:val="24"/>
        </w:rPr>
        <w:t xml:space="preserve"> of Trustees. Each nominated Trustee will serve for a one-year term beginning on June 17, 2020. Trustees are </w:t>
      </w:r>
      <w:r w:rsidR="00064AC5">
        <w:rPr>
          <w:rFonts w:ascii="Verdana" w:hAnsi="Verdana" w:cs="Arial"/>
          <w:sz w:val="24"/>
          <w:szCs w:val="24"/>
        </w:rPr>
        <w:t>eligible</w:t>
      </w:r>
      <w:r>
        <w:rPr>
          <w:rFonts w:ascii="Verdana" w:hAnsi="Verdana" w:cs="Arial"/>
          <w:sz w:val="24"/>
          <w:szCs w:val="24"/>
        </w:rPr>
        <w:t xml:space="preserve"> to serve a maximum of eight terms on the Board.</w:t>
      </w:r>
    </w:p>
    <w:p w14:paraId="10029096" w14:textId="251BC454" w:rsidR="00B500BF" w:rsidRDefault="00B500BF" w:rsidP="00D206A3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3547820A" w14:textId="5A9CC153" w:rsidR="00B500BF" w:rsidRDefault="00B500BF" w:rsidP="00D206A3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 New Jersey State Bar Foundation, the charitable and educational arm of the New Jersey State Bar Association, provides a wide variety of free, law-related programs and services to the public. The Foundation’s mission is to:</w:t>
      </w:r>
    </w:p>
    <w:p w14:paraId="4AB171B5" w14:textId="20BBA542" w:rsidR="00B500BF" w:rsidRDefault="00B500BF" w:rsidP="00D206A3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244CF708" w14:textId="2B62C610" w:rsidR="00A52554" w:rsidRDefault="00A52554" w:rsidP="007F5446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Verdana" w:eastAsia="Times New Roman" w:hAnsi="Verdana" w:cs="Times New Roman"/>
          <w:sz w:val="24"/>
          <w:szCs w:val="24"/>
        </w:rPr>
      </w:pPr>
      <w:r w:rsidRPr="007F5446">
        <w:rPr>
          <w:rFonts w:ascii="Verdana" w:eastAsia="Times New Roman" w:hAnsi="Verdana" w:cs="Times New Roman"/>
          <w:sz w:val="24"/>
          <w:szCs w:val="24"/>
        </w:rPr>
        <w:t>Foster an increased awareness, appreciation and knowledge of law and the legal system among New Jersey residents</w:t>
      </w:r>
      <w:r w:rsidR="00AC2C7B">
        <w:rPr>
          <w:rFonts w:ascii="Verdana" w:eastAsia="Times New Roman" w:hAnsi="Verdana" w:cs="Times New Roman"/>
          <w:sz w:val="24"/>
          <w:szCs w:val="24"/>
        </w:rPr>
        <w:t>;</w:t>
      </w:r>
    </w:p>
    <w:p w14:paraId="38A8A56A" w14:textId="77777777" w:rsidR="007F5446" w:rsidRPr="007F5446" w:rsidRDefault="007F5446" w:rsidP="007F5446">
      <w:pPr>
        <w:pStyle w:val="ListParagraph"/>
        <w:spacing w:after="0" w:line="240" w:lineRule="auto"/>
        <w:textAlignment w:val="top"/>
        <w:rPr>
          <w:rFonts w:ascii="Verdana" w:eastAsia="Times New Roman" w:hAnsi="Verdana" w:cs="Times New Roman"/>
          <w:sz w:val="24"/>
          <w:szCs w:val="24"/>
        </w:rPr>
      </w:pPr>
    </w:p>
    <w:p w14:paraId="37ADA1E8" w14:textId="68F91A85" w:rsidR="00A52554" w:rsidRDefault="00A52554" w:rsidP="007854B7">
      <w:pPr>
        <w:spacing w:after="0" w:line="240" w:lineRule="auto"/>
        <w:ind w:left="720" w:hanging="360"/>
        <w:textAlignment w:val="top"/>
        <w:rPr>
          <w:rFonts w:ascii="Verdana" w:eastAsia="Times New Roman" w:hAnsi="Verdana" w:cs="Times New Roman"/>
          <w:sz w:val="24"/>
          <w:szCs w:val="24"/>
        </w:rPr>
      </w:pPr>
      <w:r w:rsidRPr="00A52554">
        <w:rPr>
          <w:rFonts w:ascii="Perpetua" w:hAnsi="Perpetua"/>
          <w:b/>
          <w:bCs/>
          <w:color w:val="1F3864" w:themeColor="accent1" w:themeShade="80"/>
          <w:sz w:val="32"/>
          <w:szCs w:val="32"/>
          <w:u w:val="single"/>
        </w:rPr>
        <w:sym w:font="Wingdings" w:char="F0B6"/>
      </w:r>
      <w:r>
        <w:rPr>
          <w:rFonts w:ascii="Perpetua" w:hAnsi="Perpetua"/>
          <w:b/>
          <w:bCs/>
          <w:color w:val="1F3864" w:themeColor="accent1" w:themeShade="80"/>
          <w:sz w:val="32"/>
          <w:szCs w:val="32"/>
        </w:rPr>
        <w:t xml:space="preserve"> </w:t>
      </w:r>
      <w:r w:rsidR="007F5446">
        <w:rPr>
          <w:rFonts w:ascii="Perpetua" w:hAnsi="Perpetua"/>
          <w:b/>
          <w:bCs/>
          <w:color w:val="1F3864" w:themeColor="accent1" w:themeShade="80"/>
          <w:sz w:val="32"/>
          <w:szCs w:val="32"/>
        </w:rPr>
        <w:tab/>
      </w:r>
      <w:r w:rsidRPr="00A52554">
        <w:rPr>
          <w:rFonts w:ascii="Verdana" w:eastAsia="Times New Roman" w:hAnsi="Verdana" w:cs="Times New Roman"/>
          <w:sz w:val="24"/>
          <w:szCs w:val="24"/>
        </w:rPr>
        <w:t>Serve as the statewide resource for law-related education for the public</w:t>
      </w:r>
      <w:r w:rsidR="00AC2C7B">
        <w:rPr>
          <w:rFonts w:ascii="Verdana" w:eastAsia="Times New Roman" w:hAnsi="Verdana" w:cs="Times New Roman"/>
          <w:sz w:val="24"/>
          <w:szCs w:val="24"/>
        </w:rPr>
        <w:t>;</w:t>
      </w:r>
    </w:p>
    <w:p w14:paraId="5142A5CA" w14:textId="77777777" w:rsidR="007F5446" w:rsidRPr="00A52554" w:rsidRDefault="007F5446" w:rsidP="007F5446">
      <w:pPr>
        <w:spacing w:after="0" w:line="240" w:lineRule="auto"/>
        <w:ind w:firstLine="360"/>
        <w:textAlignment w:val="top"/>
        <w:rPr>
          <w:rFonts w:ascii="Verdana" w:eastAsia="Times New Roman" w:hAnsi="Verdana" w:cs="Times New Roman"/>
          <w:sz w:val="24"/>
          <w:szCs w:val="24"/>
        </w:rPr>
      </w:pPr>
    </w:p>
    <w:p w14:paraId="1B291D5F" w14:textId="3F6CA6CE" w:rsidR="00A52554" w:rsidRDefault="00A52554" w:rsidP="007F5446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Verdana" w:eastAsia="Times New Roman" w:hAnsi="Verdana" w:cs="Times New Roman"/>
          <w:sz w:val="24"/>
          <w:szCs w:val="24"/>
        </w:rPr>
      </w:pPr>
      <w:r w:rsidRPr="007F5446">
        <w:rPr>
          <w:rFonts w:ascii="Verdana" w:eastAsia="Times New Roman" w:hAnsi="Verdana" w:cs="Times New Roman"/>
          <w:sz w:val="24"/>
          <w:szCs w:val="24"/>
        </w:rPr>
        <w:t>Provide opportunities for lawyers to serve the public through the Foundation's programs</w:t>
      </w:r>
      <w:r w:rsidR="00AC2C7B">
        <w:rPr>
          <w:rFonts w:ascii="Verdana" w:eastAsia="Times New Roman" w:hAnsi="Verdana" w:cs="Times New Roman"/>
          <w:sz w:val="24"/>
          <w:szCs w:val="24"/>
        </w:rPr>
        <w:t xml:space="preserve">; and </w:t>
      </w:r>
    </w:p>
    <w:p w14:paraId="7C478ED5" w14:textId="77777777" w:rsidR="007F5446" w:rsidRPr="007F5446" w:rsidRDefault="007F5446" w:rsidP="007F5446">
      <w:pPr>
        <w:pStyle w:val="ListParagraph"/>
        <w:spacing w:after="0" w:line="240" w:lineRule="auto"/>
        <w:textAlignment w:val="top"/>
        <w:rPr>
          <w:rFonts w:ascii="Verdana" w:eastAsia="Times New Roman" w:hAnsi="Verdana" w:cs="Times New Roman"/>
          <w:sz w:val="24"/>
          <w:szCs w:val="24"/>
        </w:rPr>
      </w:pPr>
    </w:p>
    <w:p w14:paraId="1358820F" w14:textId="23DC1993" w:rsidR="00A52554" w:rsidRPr="007F5446" w:rsidRDefault="00A52554" w:rsidP="007F5446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Verdana" w:eastAsia="Times New Roman" w:hAnsi="Verdana" w:cs="Times New Roman"/>
          <w:sz w:val="24"/>
          <w:szCs w:val="24"/>
        </w:rPr>
      </w:pPr>
      <w:r w:rsidRPr="007F5446">
        <w:rPr>
          <w:rFonts w:ascii="Verdana" w:eastAsia="Times New Roman" w:hAnsi="Verdana" w:cs="Times New Roman"/>
          <w:sz w:val="24"/>
          <w:szCs w:val="24"/>
        </w:rPr>
        <w:t>Foster professionalism and pride in the profession of law through public service.</w:t>
      </w:r>
    </w:p>
    <w:p w14:paraId="59BF8B39" w14:textId="77777777" w:rsidR="00A52554" w:rsidRPr="00A52554" w:rsidRDefault="00A52554" w:rsidP="00D206A3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4AF70255" w14:textId="39E4F45B" w:rsidR="00075DAA" w:rsidRDefault="00E420F8" w:rsidP="00D206A3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With funding from the IOLTA </w:t>
      </w:r>
      <w:r w:rsidR="00075DAA">
        <w:rPr>
          <w:rFonts w:ascii="Verdana" w:hAnsi="Verdana" w:cs="Arial"/>
          <w:sz w:val="24"/>
          <w:szCs w:val="24"/>
        </w:rPr>
        <w:t xml:space="preserve">Fund of the Bar of New Jersey, as well as generous support from the legal community, the Foundation </w:t>
      </w:r>
      <w:r w:rsidR="00236B47">
        <w:rPr>
          <w:rFonts w:ascii="Verdana" w:hAnsi="Verdana" w:cs="Arial"/>
          <w:sz w:val="24"/>
          <w:szCs w:val="24"/>
        </w:rPr>
        <w:t xml:space="preserve">is </w:t>
      </w:r>
      <w:r w:rsidR="00075DAA">
        <w:rPr>
          <w:rFonts w:ascii="Verdana" w:hAnsi="Verdana" w:cs="Arial"/>
          <w:sz w:val="24"/>
          <w:szCs w:val="24"/>
        </w:rPr>
        <w:t xml:space="preserve">able to reach </w:t>
      </w:r>
      <w:r w:rsidR="00236B47">
        <w:rPr>
          <w:rFonts w:ascii="Verdana" w:hAnsi="Verdana" w:cs="Arial"/>
          <w:sz w:val="24"/>
          <w:szCs w:val="24"/>
        </w:rPr>
        <w:t xml:space="preserve">thousands of </w:t>
      </w:r>
      <w:r w:rsidR="00075DAA">
        <w:rPr>
          <w:rFonts w:ascii="Verdana" w:hAnsi="Verdana" w:cs="Arial"/>
          <w:sz w:val="24"/>
          <w:szCs w:val="24"/>
        </w:rPr>
        <w:t>New Jersey residents</w:t>
      </w:r>
      <w:r w:rsidR="00774E1B">
        <w:rPr>
          <w:rFonts w:ascii="Verdana" w:hAnsi="Verdana" w:cs="Arial"/>
          <w:sz w:val="24"/>
          <w:szCs w:val="24"/>
        </w:rPr>
        <w:t xml:space="preserve"> each year</w:t>
      </w:r>
      <w:r w:rsidR="00075DAA">
        <w:rPr>
          <w:rFonts w:ascii="Verdana" w:hAnsi="Verdana" w:cs="Arial"/>
          <w:sz w:val="24"/>
          <w:szCs w:val="24"/>
        </w:rPr>
        <w:t xml:space="preserve">. </w:t>
      </w:r>
    </w:p>
    <w:p w14:paraId="77E8A014" w14:textId="77777777" w:rsidR="00075DAA" w:rsidRDefault="00075DAA" w:rsidP="00D206A3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13A51AD9" w14:textId="1F7F289E" w:rsidR="00075DAA" w:rsidRDefault="00064AC5" w:rsidP="00D206A3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Interested candidates should complete a Questionnaire that is available by contacting Mary Jean Barnes, Director of Administration and Grants Programs, at </w:t>
      </w:r>
      <w:hyperlink r:id="rId6" w:history="1">
        <w:r w:rsidRPr="00370315">
          <w:rPr>
            <w:rStyle w:val="Hyperlink"/>
            <w:rFonts w:ascii="Verdana" w:hAnsi="Verdana" w:cs="Arial"/>
            <w:sz w:val="24"/>
            <w:szCs w:val="24"/>
          </w:rPr>
          <w:t>mjbarnes@njsbf.org</w:t>
        </w:r>
      </w:hyperlink>
      <w:r>
        <w:rPr>
          <w:rFonts w:ascii="Verdana" w:hAnsi="Verdana" w:cs="Arial"/>
          <w:sz w:val="24"/>
          <w:szCs w:val="24"/>
        </w:rPr>
        <w:t xml:space="preserve">.  </w:t>
      </w:r>
    </w:p>
    <w:sectPr w:rsidR="00075DAA" w:rsidSect="007854B7">
      <w:pgSz w:w="12240" w:h="15840"/>
      <w:pgMar w:top="864" w:right="1296" w:bottom="1152" w:left="1440" w:header="720" w:footer="720" w:gutter="0"/>
      <w:pgBorders w:offsetFrom="page">
        <w:top w:val="thickThinSmallGap" w:sz="24" w:space="24" w:color="2F5496" w:themeColor="accent1" w:themeShade="BF"/>
        <w:left w:val="thickThinSmallGap" w:sz="24" w:space="24" w:color="2F5496" w:themeColor="accent1" w:themeShade="BF"/>
        <w:bottom w:val="thinThickSmallGap" w:sz="24" w:space="24" w:color="2F5496" w:themeColor="accent1" w:themeShade="BF"/>
        <w:right w:val="thinThickSmallGap" w:sz="2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472DB"/>
    <w:multiLevelType w:val="multilevel"/>
    <w:tmpl w:val="2992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A0578"/>
    <w:multiLevelType w:val="hybridMultilevel"/>
    <w:tmpl w:val="D9C4E5F2"/>
    <w:lvl w:ilvl="0" w:tplc="E94A6478">
      <w:numFmt w:val="bullet"/>
      <w:lvlText w:val="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1F3864" w:themeColor="accent1" w:themeShade="80"/>
        <w:sz w:val="32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8F"/>
    <w:rsid w:val="00064AC5"/>
    <w:rsid w:val="000679A4"/>
    <w:rsid w:val="000752FB"/>
    <w:rsid w:val="00075DAA"/>
    <w:rsid w:val="000C3497"/>
    <w:rsid w:val="000C5457"/>
    <w:rsid w:val="00106220"/>
    <w:rsid w:val="00134A68"/>
    <w:rsid w:val="001D15B6"/>
    <w:rsid w:val="001F1D22"/>
    <w:rsid w:val="00236B47"/>
    <w:rsid w:val="002D0F2E"/>
    <w:rsid w:val="002F5B00"/>
    <w:rsid w:val="00306CA3"/>
    <w:rsid w:val="00330531"/>
    <w:rsid w:val="00334631"/>
    <w:rsid w:val="0036508E"/>
    <w:rsid w:val="004809BE"/>
    <w:rsid w:val="004C1777"/>
    <w:rsid w:val="00507B01"/>
    <w:rsid w:val="005529D0"/>
    <w:rsid w:val="005608D2"/>
    <w:rsid w:val="005618CE"/>
    <w:rsid w:val="005C17A3"/>
    <w:rsid w:val="005C22FC"/>
    <w:rsid w:val="0061561A"/>
    <w:rsid w:val="00635FB6"/>
    <w:rsid w:val="00690C34"/>
    <w:rsid w:val="00706A38"/>
    <w:rsid w:val="00747A6A"/>
    <w:rsid w:val="00760E9D"/>
    <w:rsid w:val="007718F1"/>
    <w:rsid w:val="00774E1B"/>
    <w:rsid w:val="007854B7"/>
    <w:rsid w:val="007C5A59"/>
    <w:rsid w:val="007F5446"/>
    <w:rsid w:val="00881CE5"/>
    <w:rsid w:val="00891BE3"/>
    <w:rsid w:val="008F21F7"/>
    <w:rsid w:val="008F57E0"/>
    <w:rsid w:val="00A52554"/>
    <w:rsid w:val="00AC2C7B"/>
    <w:rsid w:val="00AE5EAD"/>
    <w:rsid w:val="00B44477"/>
    <w:rsid w:val="00B500BF"/>
    <w:rsid w:val="00B8148F"/>
    <w:rsid w:val="00D037D2"/>
    <w:rsid w:val="00D206A3"/>
    <w:rsid w:val="00D45B88"/>
    <w:rsid w:val="00D63F37"/>
    <w:rsid w:val="00DE5F2A"/>
    <w:rsid w:val="00E16C8F"/>
    <w:rsid w:val="00E420F8"/>
    <w:rsid w:val="00E459E1"/>
    <w:rsid w:val="00E459E4"/>
    <w:rsid w:val="00E72CCD"/>
    <w:rsid w:val="00ED1FA1"/>
    <w:rsid w:val="00EE2598"/>
    <w:rsid w:val="00F1198D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6DBF"/>
  <w15:chartTrackingRefBased/>
  <w15:docId w15:val="{B6396E41-B4F4-4322-9ABC-E2570CF7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4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A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jbarnes@njsb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Jean Barnes, JD</dc:creator>
  <cp:keywords/>
  <dc:description/>
  <cp:lastModifiedBy>Mary Jean Barnes, JD</cp:lastModifiedBy>
  <cp:revision>11</cp:revision>
  <cp:lastPrinted>2019-09-04T14:43:00Z</cp:lastPrinted>
  <dcterms:created xsi:type="dcterms:W3CDTF">2020-04-24T15:59:00Z</dcterms:created>
  <dcterms:modified xsi:type="dcterms:W3CDTF">2020-04-24T17:42:00Z</dcterms:modified>
</cp:coreProperties>
</file>